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5B4775" w:rsidRDefault="005B4775" w:rsidP="005B4775">
      <w:pPr>
        <w:shd w:val="clear" w:color="auto" w:fill="FFFFFF" w:themeFill="background1"/>
        <w:spacing w:after="60"/>
        <w:jc w:val="center"/>
        <w:rPr>
          <w:rFonts w:ascii="Times New Roman" w:hAnsi="Times New Roman"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3"/>
        <w:gridCol w:w="790"/>
        <w:gridCol w:w="246"/>
        <w:gridCol w:w="339"/>
        <w:gridCol w:w="118"/>
        <w:gridCol w:w="962"/>
        <w:gridCol w:w="765"/>
        <w:gridCol w:w="262"/>
        <w:gridCol w:w="109"/>
        <w:gridCol w:w="773"/>
        <w:gridCol w:w="411"/>
        <w:gridCol w:w="169"/>
        <w:gridCol w:w="1231"/>
        <w:gridCol w:w="336"/>
        <w:gridCol w:w="1560"/>
      </w:tblGrid>
      <w:tr w:rsidR="005B4775" w:rsidRPr="00EC7C66" w:rsidTr="00E82253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EC7C66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EC7C66" w:rsidRDefault="00C4026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/>
              </w:rPr>
              <w:t>Дејана Јовановић Поповић</w:t>
            </w:r>
          </w:p>
        </w:tc>
      </w:tr>
      <w:tr w:rsidR="005B4775" w:rsidRPr="00EC7C66" w:rsidTr="00E82253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EC7C66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EC7C66" w:rsidRDefault="00C4026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Редовни професор</w:t>
            </w:r>
          </w:p>
        </w:tc>
      </w:tr>
      <w:tr w:rsidR="005B4775" w:rsidRPr="00EC7C66" w:rsidTr="00E82253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EC7C66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Назив институције у  којој наставник ради са пуним </w:t>
            </w:r>
            <w:r w:rsidRPr="00EC7C6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или непуним </w:t>
            </w:r>
            <w:r w:rsidRPr="00EC7C6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EC7C66" w:rsidRDefault="00C4026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безбедности</w:t>
            </w:r>
          </w:p>
        </w:tc>
      </w:tr>
      <w:tr w:rsidR="005B4775" w:rsidRPr="00EC7C66" w:rsidTr="00E82253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EC7C66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EC7C66" w:rsidRDefault="003D70AD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Заштита животне средине</w:t>
            </w:r>
          </w:p>
        </w:tc>
      </w:tr>
      <w:tr w:rsidR="005B4775" w:rsidRPr="00EC7C66" w:rsidTr="00E82253">
        <w:trPr>
          <w:trHeight w:val="271"/>
        </w:trPr>
        <w:tc>
          <w:tcPr>
            <w:tcW w:w="8894" w:type="dxa"/>
            <w:gridSpan w:val="15"/>
            <w:vAlign w:val="center"/>
          </w:tcPr>
          <w:p w:rsidR="005B4775" w:rsidRPr="00EC7C66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5B4775" w:rsidRPr="00EC7C66" w:rsidTr="00E82253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EC7C66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62" w:type="dxa"/>
            <w:vAlign w:val="center"/>
          </w:tcPr>
          <w:p w:rsidR="005B4775" w:rsidRPr="00EC7C66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EC7C66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5B4775" w:rsidRPr="00EC7C66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</w:rPr>
              <w:t>Научна или уметничка о</w:t>
            </w: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EC7C66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ru-RU"/>
              </w:rPr>
              <w:t>Ужа научна, уметничка или стручна област</w:t>
            </w:r>
          </w:p>
        </w:tc>
      </w:tr>
      <w:tr w:rsidR="00E82253" w:rsidRPr="00EC7C66" w:rsidTr="00E82253">
        <w:trPr>
          <w:trHeight w:val="271"/>
        </w:trPr>
        <w:tc>
          <w:tcPr>
            <w:tcW w:w="2316" w:type="dxa"/>
            <w:gridSpan w:val="5"/>
            <w:vAlign w:val="center"/>
          </w:tcPr>
          <w:p w:rsidR="00E82253" w:rsidRPr="00EC7C66" w:rsidRDefault="00E8225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  <w:r w:rsidR="006E405C"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– </w:t>
            </w:r>
            <w:r w:rsidR="006E405C" w:rsidRPr="00EC7C66">
              <w:rPr>
                <w:rFonts w:ascii="Times New Roman" w:hAnsi="Times New Roman"/>
                <w:sz w:val="16"/>
                <w:szCs w:val="16"/>
                <w:lang/>
              </w:rPr>
              <w:t>редовни професор</w:t>
            </w:r>
          </w:p>
        </w:tc>
        <w:tc>
          <w:tcPr>
            <w:tcW w:w="962" w:type="dxa"/>
            <w:vAlign w:val="center"/>
          </w:tcPr>
          <w:p w:rsidR="00E82253" w:rsidRPr="00EC7C66" w:rsidRDefault="00E8225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2016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E82253" w:rsidRPr="00EC7C66" w:rsidRDefault="003D70AD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безбедности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E82253" w:rsidRPr="00EC7C66" w:rsidRDefault="008C48C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/>
              </w:rPr>
              <w:t>Студије наука безбедности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E82253" w:rsidRPr="00EC7C66" w:rsidRDefault="008C48C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Студије цивилне заштите и заштите животне средине</w:t>
            </w:r>
          </w:p>
        </w:tc>
      </w:tr>
      <w:tr w:rsidR="00E82253" w:rsidRPr="00EC7C66" w:rsidTr="00E82253">
        <w:trPr>
          <w:trHeight w:val="271"/>
        </w:trPr>
        <w:tc>
          <w:tcPr>
            <w:tcW w:w="2316" w:type="dxa"/>
            <w:gridSpan w:val="5"/>
            <w:vAlign w:val="center"/>
          </w:tcPr>
          <w:p w:rsidR="006E405C" w:rsidRPr="00EC7C66" w:rsidRDefault="003D70AD" w:rsidP="00EC7C6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  <w:r w:rsidR="006E405C"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–Вандредни професор</w:t>
            </w:r>
          </w:p>
        </w:tc>
        <w:tc>
          <w:tcPr>
            <w:tcW w:w="962" w:type="dxa"/>
            <w:vAlign w:val="center"/>
          </w:tcPr>
          <w:p w:rsidR="00E82253" w:rsidRPr="00EC7C66" w:rsidRDefault="003D70AD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2011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E82253" w:rsidRPr="00EC7C66" w:rsidRDefault="003D70AD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безбедности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E82253" w:rsidRPr="00EC7C66" w:rsidRDefault="008C48C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/>
              </w:rPr>
              <w:t>Студије наука безбедности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E82253" w:rsidRPr="00EC7C66" w:rsidRDefault="008C48C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Студије цивилне заштите и заштите животне средине</w:t>
            </w:r>
          </w:p>
        </w:tc>
      </w:tr>
      <w:tr w:rsidR="00E82253" w:rsidRPr="00EC7C66" w:rsidTr="00E82253">
        <w:trPr>
          <w:trHeight w:val="271"/>
        </w:trPr>
        <w:tc>
          <w:tcPr>
            <w:tcW w:w="2316" w:type="dxa"/>
            <w:gridSpan w:val="5"/>
            <w:vAlign w:val="center"/>
          </w:tcPr>
          <w:p w:rsidR="00E82253" w:rsidRPr="00EC7C66" w:rsidRDefault="006E405C" w:rsidP="00EC7C6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 –Доцент</w:t>
            </w:r>
          </w:p>
        </w:tc>
        <w:tc>
          <w:tcPr>
            <w:tcW w:w="962" w:type="dxa"/>
            <w:vAlign w:val="center"/>
          </w:tcPr>
          <w:p w:rsidR="00E82253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2006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E82253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безбедности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E82253" w:rsidRPr="00EC7C66" w:rsidRDefault="008C48C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/>
              </w:rPr>
              <w:t>Студије наука безбедности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E82253" w:rsidRPr="00EC7C66" w:rsidRDefault="008C48C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Студије цивилне заштите и заштите животне средине</w:t>
            </w:r>
          </w:p>
        </w:tc>
      </w:tr>
      <w:tr w:rsidR="006E405C" w:rsidRPr="00EC7C66" w:rsidTr="00E82253">
        <w:trPr>
          <w:trHeight w:val="271"/>
        </w:trPr>
        <w:tc>
          <w:tcPr>
            <w:tcW w:w="2316" w:type="dxa"/>
            <w:gridSpan w:val="5"/>
            <w:vAlign w:val="center"/>
          </w:tcPr>
          <w:p w:rsidR="006E405C" w:rsidRPr="00EC7C66" w:rsidRDefault="003B1AD5" w:rsidP="00EC7C6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 –</w:t>
            </w:r>
            <w:r w:rsidRPr="00EC7C66">
              <w:rPr>
                <w:rFonts w:ascii="Times New Roman" w:hAnsi="Times New Roman"/>
                <w:sz w:val="16"/>
                <w:szCs w:val="16"/>
                <w:lang/>
              </w:rPr>
              <w:t>Пост-докторални истраживач</w:t>
            </w:r>
          </w:p>
        </w:tc>
        <w:tc>
          <w:tcPr>
            <w:tcW w:w="962" w:type="dxa"/>
            <w:vAlign w:val="center"/>
          </w:tcPr>
          <w:p w:rsidR="006E405C" w:rsidRPr="00EC7C66" w:rsidRDefault="003B1AD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1998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6E405C" w:rsidRPr="00EC7C66" w:rsidRDefault="003B1AD5" w:rsidP="00A1266B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</w:rPr>
              <w:t>UCL School of Pharmacy, University College London (UCL)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6E405C" w:rsidRPr="00EC7C66" w:rsidRDefault="0037480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Фармацеутске науке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6E405C" w:rsidRPr="00EC7C66" w:rsidRDefault="003B1AD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Биотехнологија, токсикологија</w:t>
            </w:r>
          </w:p>
        </w:tc>
      </w:tr>
      <w:tr w:rsidR="003B1AD5" w:rsidRPr="00EC7C66" w:rsidTr="00E82253">
        <w:trPr>
          <w:trHeight w:val="271"/>
        </w:trPr>
        <w:tc>
          <w:tcPr>
            <w:tcW w:w="2316" w:type="dxa"/>
            <w:gridSpan w:val="5"/>
            <w:vAlign w:val="center"/>
          </w:tcPr>
          <w:p w:rsidR="003B1AD5" w:rsidRPr="00EC7C66" w:rsidRDefault="003B1AD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/>
              </w:rPr>
              <w:t>Докторат</w:t>
            </w:r>
          </w:p>
        </w:tc>
        <w:tc>
          <w:tcPr>
            <w:tcW w:w="962" w:type="dxa"/>
            <w:vAlign w:val="center"/>
          </w:tcPr>
          <w:p w:rsidR="003B1AD5" w:rsidRPr="00EC7C66" w:rsidRDefault="003B1AD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1998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3B1AD5" w:rsidRPr="00EC7C66" w:rsidRDefault="003B1AD5" w:rsidP="00A1266B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</w:rPr>
              <w:t>UCL School of Pharmacy, University College London (UCL)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3B1AD5" w:rsidRPr="00EC7C66" w:rsidRDefault="0037480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Фармацеутске науке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B1AD5" w:rsidRPr="00EC7C66" w:rsidRDefault="003B1AD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Биотехнологија, токсикологија</w:t>
            </w:r>
          </w:p>
        </w:tc>
      </w:tr>
      <w:tr w:rsidR="006E405C" w:rsidRPr="00EC7C66" w:rsidTr="00E82253">
        <w:trPr>
          <w:trHeight w:val="271"/>
        </w:trPr>
        <w:tc>
          <w:tcPr>
            <w:tcW w:w="2316" w:type="dxa"/>
            <w:gridSpan w:val="5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Специјализација</w:t>
            </w:r>
          </w:p>
        </w:tc>
        <w:tc>
          <w:tcPr>
            <w:tcW w:w="962" w:type="dxa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1992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Универзитет у Београду </w:t>
            </w:r>
            <w:r w:rsidRPr="00EC7C66">
              <w:rPr>
                <w:rFonts w:ascii="Times New Roman" w:hAnsi="Times New Roman"/>
                <w:sz w:val="16"/>
                <w:szCs w:val="16"/>
                <w:lang/>
              </w:rPr>
              <w:t>и</w:t>
            </w: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Клинички центар </w:t>
            </w:r>
            <w:r w:rsidRPr="00EC7C66">
              <w:rPr>
                <w:rFonts w:ascii="Times New Roman" w:hAnsi="Times New Roman"/>
                <w:sz w:val="16"/>
                <w:szCs w:val="16"/>
                <w:lang/>
              </w:rPr>
              <w:t>Србије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Клиничка биохемија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</w:p>
        </w:tc>
      </w:tr>
      <w:tr w:rsidR="006E405C" w:rsidRPr="00EC7C66" w:rsidTr="00E82253">
        <w:trPr>
          <w:trHeight w:val="271"/>
        </w:trPr>
        <w:tc>
          <w:tcPr>
            <w:tcW w:w="2316" w:type="dxa"/>
            <w:gridSpan w:val="5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962" w:type="dxa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1986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 у Београду, Фармацеутски факултет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6E405C" w:rsidRPr="00EC7C66" w:rsidRDefault="00A1266B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Фармацеутске науке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6E405C" w:rsidRPr="00EC7C66" w:rsidTr="00E82253">
        <w:trPr>
          <w:trHeight w:val="271"/>
        </w:trPr>
        <w:tc>
          <w:tcPr>
            <w:tcW w:w="8894" w:type="dxa"/>
            <w:gridSpan w:val="15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EC7C6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Списак предмета за  које  је наставник акредитован </w:t>
            </w:r>
            <w:r w:rsidRPr="00EC7C6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на првом или другом степену студија</w:t>
            </w:r>
          </w:p>
        </w:tc>
      </w:tr>
      <w:tr w:rsidR="006E405C" w:rsidRPr="00EC7C66" w:rsidTr="00E82253">
        <w:trPr>
          <w:trHeight w:val="519"/>
        </w:trPr>
        <w:tc>
          <w:tcPr>
            <w:tcW w:w="823" w:type="dxa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Р.Б.</w:t>
            </w:r>
          </w:p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  <w:r w:rsidRPr="00EC7C66">
              <w:rPr>
                <w:rFonts w:ascii="Times New Roman" w:hAnsi="Times New Roman"/>
                <w:sz w:val="16"/>
                <w:szCs w:val="16"/>
              </w:rPr>
              <w:t>,2,3...</w:t>
            </w: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EC7C66">
              <w:rPr>
                <w:rFonts w:ascii="Times New Roman" w:hAnsi="Times New Roman"/>
                <w:sz w:val="16"/>
                <w:szCs w:val="16"/>
              </w:rPr>
              <w:t>Ознака предмета</w:t>
            </w: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iCs/>
                <w:sz w:val="16"/>
                <w:szCs w:val="16"/>
              </w:rPr>
              <w:t>Назив предмета</w:t>
            </w:r>
            <w:r w:rsidRPr="00EC7C66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     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EC7C66">
              <w:rPr>
                <w:rFonts w:ascii="Times New Roman" w:hAnsi="Times New Roman"/>
                <w:sz w:val="16"/>
                <w:szCs w:val="16"/>
              </w:rPr>
              <w:t>Вид наставе</w:t>
            </w: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EC7C66">
              <w:rPr>
                <w:rFonts w:ascii="Times New Roman" w:hAnsi="Times New Roman"/>
                <w:iCs/>
                <w:sz w:val="16"/>
                <w:szCs w:val="16"/>
              </w:rPr>
              <w:t xml:space="preserve">Назив студијског програма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В</w:t>
            </w:r>
            <w:r w:rsidRPr="00EC7C66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рста студија (</w:t>
            </w:r>
            <w:r w:rsidRPr="00EC7C66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ОСС, ССС, ОАС, МСС, МАС, САС)</w:t>
            </w:r>
          </w:p>
        </w:tc>
      </w:tr>
      <w:tr w:rsidR="006E405C" w:rsidRPr="00EC7C66" w:rsidTr="00E82253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  <w:r w:rsidR="003833FF"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6E405C" w:rsidRPr="00EC7C66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/>
              </w:rPr>
              <w:t>Мониторинг у заштити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E405C" w:rsidRPr="00EC7C66" w:rsidRDefault="0036603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OA</w:t>
            </w:r>
            <w:r w:rsidR="006E405C" w:rsidRPr="00EC7C66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С</w:t>
            </w:r>
          </w:p>
        </w:tc>
      </w:tr>
      <w:tr w:rsidR="006E405C" w:rsidRPr="00EC7C66" w:rsidTr="00E82253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6E405C" w:rsidRPr="00EC7C66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6E405C" w:rsidRPr="00EC7C66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Еколошка безбедност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E405C" w:rsidRPr="00EC7C66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OAС</w:t>
            </w:r>
          </w:p>
        </w:tc>
      </w:tr>
      <w:tr w:rsidR="006E405C" w:rsidRPr="00EC7C66" w:rsidTr="00E82253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6E405C" w:rsidRPr="00EC7C66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3.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6E405C" w:rsidRPr="00EC7C66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/>
              </w:rPr>
              <w:t>Глобализација и заштита животне средине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E405C" w:rsidRPr="00EC7C66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МАС</w:t>
            </w:r>
          </w:p>
        </w:tc>
      </w:tr>
      <w:tr w:rsidR="006E405C" w:rsidRPr="00EC7C66" w:rsidTr="00E82253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6E405C" w:rsidRPr="00EC7C66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4.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6E405C" w:rsidRPr="00EC7C66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/>
              </w:rPr>
              <w:t>Мониторинг, моделовање и приказивање ризика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E405C" w:rsidRPr="00EC7C66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МАС</w:t>
            </w:r>
          </w:p>
        </w:tc>
      </w:tr>
      <w:tr w:rsidR="006E405C" w:rsidRPr="00EC7C66" w:rsidTr="00E82253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6E405C" w:rsidRPr="00EC7C66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5.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6E405C" w:rsidRPr="00EC7C66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Развој, конфликти и животна средина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E405C" w:rsidRPr="00EC7C66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/>
              </w:rPr>
              <w:t>ДАС</w:t>
            </w:r>
          </w:p>
        </w:tc>
      </w:tr>
      <w:tr w:rsidR="006E405C" w:rsidRPr="00EC7C66" w:rsidTr="00E82253">
        <w:trPr>
          <w:trHeight w:val="271"/>
        </w:trPr>
        <w:tc>
          <w:tcPr>
            <w:tcW w:w="8894" w:type="dxa"/>
            <w:gridSpan w:val="15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E405C" w:rsidRPr="00EC7C66" w:rsidTr="00E82253">
        <w:trPr>
          <w:trHeight w:val="271"/>
        </w:trPr>
        <w:tc>
          <w:tcPr>
            <w:tcW w:w="1613" w:type="dxa"/>
            <w:gridSpan w:val="2"/>
            <w:vAlign w:val="center"/>
          </w:tcPr>
          <w:p w:rsidR="006E405C" w:rsidRPr="00EC7C66" w:rsidRDefault="00A1266B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6E405C" w:rsidRPr="00EC7C66" w:rsidRDefault="00A1266B" w:rsidP="007F48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C7C66">
              <w:rPr>
                <w:rFonts w:ascii="Times New Roman" w:hAnsi="Times New Roman"/>
                <w:sz w:val="16"/>
                <w:szCs w:val="16"/>
              </w:rPr>
              <w:t>Jašić, М. &amp;</w:t>
            </w:r>
            <w:r w:rsidRPr="00EC7C66">
              <w:rPr>
                <w:rFonts w:ascii="Times New Roman" w:hAnsi="Times New Roman"/>
                <w:b/>
                <w:sz w:val="16"/>
                <w:szCs w:val="16"/>
              </w:rPr>
              <w:t xml:space="preserve"> Dimitrijević D. </w:t>
            </w:r>
            <w:r w:rsidRPr="00EC7C66">
              <w:rPr>
                <w:rFonts w:ascii="Times New Roman" w:hAnsi="Times New Roman"/>
                <w:sz w:val="16"/>
                <w:szCs w:val="16"/>
              </w:rPr>
              <w:t xml:space="preserve">(2011) </w:t>
            </w:r>
            <w:r w:rsidRPr="00EC7C66">
              <w:rPr>
                <w:rFonts w:ascii="Times New Roman" w:hAnsi="Times New Roman"/>
                <w:i/>
                <w:sz w:val="16"/>
                <w:szCs w:val="16"/>
              </w:rPr>
              <w:t>Possibilities of risk quantification in the system of save-for-health food production</w:t>
            </w:r>
            <w:r w:rsidRPr="00EC7C66">
              <w:rPr>
                <w:rFonts w:ascii="Times New Roman" w:hAnsi="Times New Roman"/>
                <w:sz w:val="16"/>
                <w:szCs w:val="16"/>
              </w:rPr>
              <w:t>. In:</w:t>
            </w:r>
            <w:r w:rsidRPr="00EC7C66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EC7C66">
              <w:rPr>
                <w:rFonts w:ascii="Times New Roman" w:hAnsi="Times New Roman"/>
                <w:sz w:val="16"/>
                <w:szCs w:val="16"/>
              </w:rPr>
              <w:t xml:space="preserve">Understanding and Managing Threats to the Environment in South Eastern Europe (NATO Science for Peace and Security Series C: Environmental Security), </w:t>
            </w:r>
            <w:hyperlink r:id="rId5" w:history="1">
              <w:r w:rsidRPr="00EC7C66">
                <w:rPr>
                  <w:rStyle w:val="Hyperlink"/>
                  <w:rFonts w:ascii="Times New Roman" w:hAnsi="Times New Roman"/>
                  <w:color w:val="auto"/>
                  <w:sz w:val="16"/>
                  <w:szCs w:val="16"/>
                </w:rPr>
                <w:t>Gorazd Meško</w:t>
              </w:r>
            </w:hyperlink>
            <w:r w:rsidRPr="00EC7C66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hyperlink r:id="rId6" w:history="1">
              <w:r w:rsidRPr="00EC7C66">
                <w:rPr>
                  <w:rStyle w:val="Hyperlink"/>
                  <w:rFonts w:ascii="Times New Roman" w:hAnsi="Times New Roman"/>
                  <w:color w:val="auto"/>
                  <w:sz w:val="16"/>
                  <w:szCs w:val="16"/>
                </w:rPr>
                <w:t>Dejana Dimitrijevic</w:t>
              </w:r>
            </w:hyperlink>
            <w:r w:rsidRPr="00EC7C66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hyperlink r:id="rId7" w:history="1">
              <w:r w:rsidRPr="00EC7C66">
                <w:rPr>
                  <w:rStyle w:val="Hyperlink"/>
                  <w:rFonts w:ascii="Times New Roman" w:hAnsi="Times New Roman"/>
                  <w:color w:val="auto"/>
                  <w:sz w:val="16"/>
                  <w:szCs w:val="16"/>
                </w:rPr>
                <w:t>Charles B. Fields</w:t>
              </w:r>
            </w:hyperlink>
            <w:r w:rsidR="001B40F1" w:rsidRPr="00EC7C66">
              <w:rPr>
                <w:rFonts w:ascii="Times New Roman" w:hAnsi="Times New Roman"/>
                <w:sz w:val="16"/>
                <w:szCs w:val="16"/>
              </w:rPr>
              <w:t xml:space="preserve"> (Eds</w:t>
            </w:r>
            <w:r w:rsidRPr="00EC7C66">
              <w:rPr>
                <w:rFonts w:ascii="Times New Roman" w:hAnsi="Times New Roman"/>
                <w:sz w:val="16"/>
                <w:szCs w:val="16"/>
              </w:rPr>
              <w:t>), pp.311-326. Publisher: Springer</w:t>
            </w:r>
          </w:p>
        </w:tc>
      </w:tr>
      <w:tr w:rsidR="006E405C" w:rsidRPr="00EC7C66" w:rsidTr="00E82253">
        <w:trPr>
          <w:trHeight w:val="271"/>
        </w:trPr>
        <w:tc>
          <w:tcPr>
            <w:tcW w:w="1613" w:type="dxa"/>
            <w:gridSpan w:val="2"/>
            <w:vAlign w:val="center"/>
          </w:tcPr>
          <w:p w:rsidR="006E405C" w:rsidRPr="00EC7C66" w:rsidRDefault="00A1266B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6E405C" w:rsidRPr="00EC7C66" w:rsidRDefault="00EB4396" w:rsidP="007F4897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b/>
                <w:sz w:val="16"/>
                <w:szCs w:val="16"/>
              </w:rPr>
              <w:t>Jovanovi</w:t>
            </w:r>
            <w:r w:rsidRPr="00EC7C6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ć – </w:t>
            </w:r>
            <w:r w:rsidRPr="00EC7C66">
              <w:rPr>
                <w:rFonts w:ascii="Times New Roman" w:hAnsi="Times New Roman"/>
                <w:b/>
                <w:sz w:val="16"/>
                <w:szCs w:val="16"/>
              </w:rPr>
              <w:t>Popovi</w:t>
            </w:r>
            <w:r w:rsidRPr="00EC7C6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ć, </w:t>
            </w:r>
            <w:r w:rsidRPr="00EC7C66">
              <w:rPr>
                <w:rFonts w:ascii="Times New Roman" w:hAnsi="Times New Roman"/>
                <w:b/>
                <w:sz w:val="16"/>
                <w:szCs w:val="16"/>
              </w:rPr>
              <w:t>D</w:t>
            </w:r>
            <w:r w:rsidRPr="00EC7C6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.,</w:t>
            </w: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EC7C66">
              <w:rPr>
                <w:rFonts w:ascii="Times New Roman" w:hAnsi="Times New Roman"/>
                <w:sz w:val="16"/>
                <w:szCs w:val="16"/>
              </w:rPr>
              <w:t>Kekovi</w:t>
            </w: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ć, </w:t>
            </w:r>
            <w:r w:rsidRPr="00EC7C66">
              <w:rPr>
                <w:rFonts w:ascii="Times New Roman" w:hAnsi="Times New Roman"/>
                <w:sz w:val="16"/>
                <w:szCs w:val="16"/>
              </w:rPr>
              <w:t>Z</w:t>
            </w: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., </w:t>
            </w:r>
            <w:r w:rsidRPr="00EC7C66">
              <w:rPr>
                <w:rFonts w:ascii="Times New Roman" w:hAnsi="Times New Roman"/>
                <w:sz w:val="16"/>
                <w:szCs w:val="16"/>
              </w:rPr>
              <w:t>Milin</w:t>
            </w: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č</w:t>
            </w:r>
            <w:r w:rsidRPr="00EC7C66">
              <w:rPr>
                <w:rFonts w:ascii="Times New Roman" w:hAnsi="Times New Roman"/>
                <w:sz w:val="16"/>
                <w:szCs w:val="16"/>
              </w:rPr>
              <w:t>i</w:t>
            </w: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ć, </w:t>
            </w:r>
            <w:r w:rsidRPr="00EC7C66">
              <w:rPr>
                <w:rFonts w:ascii="Times New Roman" w:hAnsi="Times New Roman"/>
                <w:sz w:val="16"/>
                <w:szCs w:val="16"/>
              </w:rPr>
              <w:t>M</w:t>
            </w: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</w:t>
            </w:r>
            <w:r w:rsidRPr="00EC7C66">
              <w:rPr>
                <w:rFonts w:ascii="Times New Roman" w:hAnsi="Times New Roman"/>
                <w:sz w:val="16"/>
                <w:szCs w:val="16"/>
              </w:rPr>
              <w:t>i</w:t>
            </w: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Š</w:t>
            </w:r>
            <w:r w:rsidRPr="00EC7C66">
              <w:rPr>
                <w:rFonts w:ascii="Times New Roman" w:hAnsi="Times New Roman"/>
                <w:sz w:val="16"/>
                <w:szCs w:val="16"/>
              </w:rPr>
              <w:t>abi</w:t>
            </w: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ć, </w:t>
            </w:r>
            <w:r w:rsidRPr="00EC7C66">
              <w:rPr>
                <w:rFonts w:ascii="Times New Roman" w:hAnsi="Times New Roman"/>
                <w:sz w:val="16"/>
                <w:szCs w:val="16"/>
              </w:rPr>
              <w:t>D</w:t>
            </w: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(2013) </w:t>
            </w:r>
            <w:r w:rsidRPr="00EC7C66">
              <w:rPr>
                <w:rFonts w:ascii="Times New Roman" w:hAnsi="Times New Roman"/>
                <w:bCs/>
                <w:i/>
                <w:sz w:val="16"/>
                <w:szCs w:val="16"/>
              </w:rPr>
              <w:t>Nanotechnology</w:t>
            </w:r>
            <w:r w:rsidRPr="00EC7C66">
              <w:rPr>
                <w:rFonts w:ascii="Times New Roman" w:hAnsi="Times New Roman"/>
                <w:bCs/>
                <w:i/>
                <w:sz w:val="16"/>
                <w:szCs w:val="16"/>
                <w:lang w:val="sr-Cyrl-CS"/>
              </w:rPr>
              <w:t xml:space="preserve"> </w:t>
            </w:r>
            <w:r w:rsidRPr="00EC7C66">
              <w:rPr>
                <w:rFonts w:ascii="Times New Roman" w:hAnsi="Times New Roman"/>
                <w:bCs/>
                <w:i/>
                <w:sz w:val="16"/>
                <w:szCs w:val="16"/>
              </w:rPr>
              <w:t>and</w:t>
            </w:r>
            <w:r w:rsidRPr="00EC7C66">
              <w:rPr>
                <w:rFonts w:ascii="Times New Roman" w:hAnsi="Times New Roman"/>
                <w:bCs/>
                <w:i/>
                <w:sz w:val="16"/>
                <w:szCs w:val="16"/>
                <w:lang w:val="sr-Cyrl-CS"/>
              </w:rPr>
              <w:t xml:space="preserve"> </w:t>
            </w:r>
            <w:r w:rsidRPr="00EC7C66">
              <w:rPr>
                <w:rFonts w:ascii="Times New Roman" w:hAnsi="Times New Roman"/>
                <w:bCs/>
                <w:i/>
                <w:sz w:val="16"/>
                <w:szCs w:val="16"/>
              </w:rPr>
              <w:t>Food</w:t>
            </w:r>
            <w:r w:rsidRPr="00EC7C66">
              <w:rPr>
                <w:rFonts w:ascii="Times New Roman" w:hAnsi="Times New Roman"/>
                <w:bCs/>
                <w:i/>
                <w:sz w:val="16"/>
                <w:szCs w:val="16"/>
                <w:lang w:val="sr-Cyrl-CS"/>
              </w:rPr>
              <w:t xml:space="preserve"> </w:t>
            </w:r>
            <w:r w:rsidRPr="00EC7C66">
              <w:rPr>
                <w:rFonts w:ascii="Times New Roman" w:hAnsi="Times New Roman"/>
                <w:bCs/>
                <w:i/>
                <w:sz w:val="16"/>
                <w:szCs w:val="16"/>
              </w:rPr>
              <w:t>Safety</w:t>
            </w:r>
            <w:r w:rsidRPr="00EC7C66">
              <w:rPr>
                <w:rFonts w:ascii="Times New Roman" w:hAnsi="Times New Roman"/>
                <w:bCs/>
                <w:i/>
                <w:sz w:val="16"/>
                <w:szCs w:val="16"/>
                <w:lang w:val="sr-Cyrl-CS"/>
              </w:rPr>
              <w:t xml:space="preserve">: </w:t>
            </w:r>
            <w:r w:rsidRPr="00EC7C66">
              <w:rPr>
                <w:rFonts w:ascii="Times New Roman" w:hAnsi="Times New Roman"/>
                <w:bCs/>
                <w:i/>
                <w:sz w:val="16"/>
                <w:szCs w:val="16"/>
              </w:rPr>
              <w:t>Applications</w:t>
            </w:r>
            <w:r w:rsidRPr="00EC7C66">
              <w:rPr>
                <w:rFonts w:ascii="Times New Roman" w:hAnsi="Times New Roman"/>
                <w:bCs/>
                <w:i/>
                <w:sz w:val="16"/>
                <w:szCs w:val="16"/>
                <w:lang w:val="sr-Cyrl-CS"/>
              </w:rPr>
              <w:t xml:space="preserve"> </w:t>
            </w:r>
            <w:r w:rsidRPr="00EC7C66">
              <w:rPr>
                <w:rFonts w:ascii="Times New Roman" w:hAnsi="Times New Roman"/>
                <w:bCs/>
                <w:i/>
                <w:sz w:val="16"/>
                <w:szCs w:val="16"/>
              </w:rPr>
              <w:t>and</w:t>
            </w:r>
            <w:r w:rsidRPr="00EC7C66">
              <w:rPr>
                <w:rFonts w:ascii="Times New Roman" w:hAnsi="Times New Roman"/>
                <w:bCs/>
                <w:i/>
                <w:sz w:val="16"/>
                <w:szCs w:val="16"/>
                <w:lang w:val="sr-Cyrl-CS"/>
              </w:rPr>
              <w:t xml:space="preserve"> </w:t>
            </w:r>
            <w:r w:rsidRPr="00EC7C66">
              <w:rPr>
                <w:rFonts w:ascii="Times New Roman" w:hAnsi="Times New Roman"/>
                <w:bCs/>
                <w:i/>
                <w:sz w:val="16"/>
                <w:szCs w:val="16"/>
              </w:rPr>
              <w:t>Emerging</w:t>
            </w:r>
            <w:r w:rsidRPr="00EC7C66">
              <w:rPr>
                <w:rFonts w:ascii="Times New Roman" w:hAnsi="Times New Roman"/>
                <w:bCs/>
                <w:i/>
                <w:sz w:val="16"/>
                <w:szCs w:val="16"/>
                <w:lang w:val="sr-Cyrl-CS"/>
              </w:rPr>
              <w:t xml:space="preserve"> </w:t>
            </w:r>
            <w:r w:rsidRPr="00EC7C66">
              <w:rPr>
                <w:rFonts w:ascii="Times New Roman" w:hAnsi="Times New Roman"/>
                <w:bCs/>
                <w:i/>
                <w:sz w:val="16"/>
                <w:szCs w:val="16"/>
              </w:rPr>
              <w:t>Opportunities</w:t>
            </w: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</w:t>
            </w:r>
            <w:r w:rsidRPr="00EC7C66">
              <w:rPr>
                <w:rFonts w:ascii="Times New Roman" w:hAnsi="Times New Roman"/>
                <w:sz w:val="16"/>
                <w:szCs w:val="16"/>
              </w:rPr>
              <w:t>In</w:t>
            </w: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: </w:t>
            </w:r>
            <w:r w:rsidRPr="00EC7C66">
              <w:rPr>
                <w:rFonts w:ascii="Times New Roman" w:hAnsi="Times New Roman"/>
                <w:sz w:val="16"/>
                <w:szCs w:val="16"/>
              </w:rPr>
              <w:t>Z</w:t>
            </w: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</w:t>
            </w:r>
            <w:r w:rsidRPr="00EC7C66">
              <w:rPr>
                <w:rFonts w:ascii="Times New Roman" w:hAnsi="Times New Roman"/>
                <w:sz w:val="16"/>
                <w:szCs w:val="16"/>
              </w:rPr>
              <w:t>Kekovi</w:t>
            </w: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ć, </w:t>
            </w:r>
            <w:r w:rsidRPr="00EC7C66">
              <w:rPr>
                <w:rFonts w:ascii="Times New Roman" w:hAnsi="Times New Roman"/>
                <w:sz w:val="16"/>
                <w:szCs w:val="16"/>
              </w:rPr>
              <w:t>et</w:t>
            </w: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</w:t>
            </w:r>
            <w:r w:rsidRPr="00EC7C66">
              <w:rPr>
                <w:rFonts w:ascii="Times New Roman" w:hAnsi="Times New Roman"/>
                <w:sz w:val="16"/>
                <w:szCs w:val="16"/>
              </w:rPr>
              <w:t>al</w:t>
            </w: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</w:t>
            </w:r>
            <w:r w:rsidRPr="00EC7C66">
              <w:rPr>
                <w:rFonts w:ascii="Times New Roman" w:hAnsi="Times New Roman"/>
                <w:sz w:val="16"/>
                <w:szCs w:val="16"/>
              </w:rPr>
              <w:t>(eds.): National Critical Infrastructure Protection – Regional Perspectives, University of Belgrade – Faculty of Security Studies, Belgrade, Institute for Corporative Security Studies, Ljubljana, 353–362</w:t>
            </w:r>
            <w:r w:rsidR="00383DB4" w:rsidRPr="00EC7C66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6E405C" w:rsidRPr="00EC7C66" w:rsidTr="00E82253">
        <w:trPr>
          <w:trHeight w:val="271"/>
        </w:trPr>
        <w:tc>
          <w:tcPr>
            <w:tcW w:w="1613" w:type="dxa"/>
            <w:gridSpan w:val="2"/>
            <w:vAlign w:val="center"/>
          </w:tcPr>
          <w:p w:rsidR="006E405C" w:rsidRPr="00EC7C66" w:rsidRDefault="00A1266B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3.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6E405C" w:rsidRPr="00EC7C66" w:rsidRDefault="00383DB4" w:rsidP="007F4897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b/>
                <w:sz w:val="16"/>
                <w:szCs w:val="16"/>
              </w:rPr>
              <w:t>Dimitrijevic, D.,</w:t>
            </w:r>
            <w:r w:rsidRPr="00EC7C66">
              <w:rPr>
                <w:rFonts w:ascii="Times New Roman" w:hAnsi="Times New Roman"/>
                <w:sz w:val="16"/>
                <w:szCs w:val="16"/>
              </w:rPr>
              <w:t xml:space="preserve"> Shaw, A. J. Florence, A. T. (2000) Effects of some non-ionic surfactants on transepithelial permeability in Caco-2 cells. </w:t>
            </w:r>
            <w:r w:rsidRPr="00EC7C66">
              <w:rPr>
                <w:rStyle w:val="Strong"/>
                <w:rFonts w:ascii="Times New Roman" w:hAnsi="Times New Roman"/>
                <w:b w:val="0"/>
                <w:i/>
                <w:sz w:val="16"/>
                <w:szCs w:val="16"/>
              </w:rPr>
              <w:t>Journal of Pharmacy and Pharmacology,</w:t>
            </w:r>
            <w:r w:rsidRPr="00EC7C66">
              <w:rPr>
                <w:rFonts w:ascii="Times New Roman" w:hAnsi="Times New Roman"/>
                <w:sz w:val="16"/>
                <w:szCs w:val="16"/>
              </w:rPr>
              <w:t xml:space="preserve"> 52, 157-162.</w:t>
            </w:r>
          </w:p>
        </w:tc>
      </w:tr>
      <w:tr w:rsidR="006E405C" w:rsidRPr="00EC7C66" w:rsidTr="00E82253">
        <w:trPr>
          <w:trHeight w:val="271"/>
        </w:trPr>
        <w:tc>
          <w:tcPr>
            <w:tcW w:w="1613" w:type="dxa"/>
            <w:gridSpan w:val="2"/>
            <w:vAlign w:val="center"/>
          </w:tcPr>
          <w:p w:rsidR="006E405C" w:rsidRPr="00EC7C66" w:rsidRDefault="00A1266B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4.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6E405C" w:rsidRPr="00EC7C66" w:rsidRDefault="007F4897" w:rsidP="007F4897">
            <w:pPr>
              <w:pStyle w:val="Default"/>
              <w:jc w:val="both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 w:cs="Times New Roman"/>
                <w:sz w:val="16"/>
                <w:szCs w:val="16"/>
              </w:rPr>
              <w:t xml:space="preserve">Milinčić, M. </w:t>
            </w:r>
            <w:r w:rsidRPr="00EC7C66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&amp;</w:t>
            </w:r>
            <w:r w:rsidRPr="00EC7C6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Jovanović Popović, D.</w:t>
            </w:r>
            <w:r w:rsidRPr="00EC7C66">
              <w:rPr>
                <w:rFonts w:ascii="Times New Roman" w:hAnsi="Times New Roman" w:cs="Times New Roman"/>
                <w:sz w:val="16"/>
                <w:szCs w:val="16"/>
              </w:rPr>
              <w:t xml:space="preserve"> (2015) The importance of regional cooperation in prevention of </w:t>
            </w:r>
            <w:r w:rsidRPr="00EC7C66">
              <w:rPr>
                <w:rStyle w:val="Emphasis"/>
                <w:rFonts w:ascii="Times New Roman" w:hAnsi="Times New Roman" w:cs="Times New Roman"/>
                <w:i w:val="0"/>
                <w:sz w:val="16"/>
                <w:szCs w:val="16"/>
              </w:rPr>
              <w:t>water</w:t>
            </w:r>
            <w:r w:rsidRPr="00EC7C66">
              <w:rPr>
                <w:rStyle w:val="st"/>
                <w:rFonts w:ascii="Times New Roman" w:hAnsi="Times New Roman" w:cs="Times New Roman"/>
                <w:i/>
                <w:sz w:val="16"/>
                <w:szCs w:val="16"/>
              </w:rPr>
              <w:t>-</w:t>
            </w:r>
            <w:r w:rsidRPr="00EC7C66">
              <w:rPr>
                <w:rStyle w:val="st"/>
                <w:rFonts w:ascii="Times New Roman" w:hAnsi="Times New Roman" w:cs="Times New Roman"/>
                <w:sz w:val="16"/>
                <w:szCs w:val="16"/>
              </w:rPr>
              <w:t>related</w:t>
            </w:r>
            <w:r w:rsidRPr="00EC7C66">
              <w:rPr>
                <w:rStyle w:val="st"/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EC7C66">
              <w:rPr>
                <w:rStyle w:val="Emphasis"/>
                <w:rFonts w:ascii="Times New Roman" w:hAnsi="Times New Roman" w:cs="Times New Roman"/>
                <w:i w:val="0"/>
                <w:sz w:val="16"/>
                <w:szCs w:val="16"/>
              </w:rPr>
              <w:t>emergencies</w:t>
            </w:r>
            <w:r w:rsidRPr="00EC7C66">
              <w:rPr>
                <w:rStyle w:val="Emphasis"/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EC7C6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The Environment </w:t>
            </w:r>
            <w:r w:rsidRPr="00EC7C66">
              <w:rPr>
                <w:rFonts w:ascii="Times New Roman" w:hAnsi="Times New Roman" w:cs="Times New Roman"/>
                <w:sz w:val="16"/>
                <w:szCs w:val="16"/>
              </w:rPr>
              <w:t>(Journal of Environmental Sciences)</w:t>
            </w:r>
            <w:r w:rsidRPr="00EC7C66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, 3 (2), 69-72.</w:t>
            </w:r>
            <w:r w:rsidRPr="00EC7C6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 </w:t>
            </w:r>
          </w:p>
        </w:tc>
      </w:tr>
      <w:tr w:rsidR="006E405C" w:rsidRPr="00EC7C66" w:rsidTr="00E82253">
        <w:trPr>
          <w:trHeight w:val="271"/>
        </w:trPr>
        <w:tc>
          <w:tcPr>
            <w:tcW w:w="1613" w:type="dxa"/>
            <w:gridSpan w:val="2"/>
            <w:vAlign w:val="center"/>
          </w:tcPr>
          <w:p w:rsidR="006E405C" w:rsidRPr="00EC7C66" w:rsidRDefault="00A1266B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5.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6E405C" w:rsidRPr="00EC7C66" w:rsidRDefault="00EB4396" w:rsidP="007F4897">
            <w:pPr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b/>
                <w:bCs/>
                <w:sz w:val="16"/>
                <w:szCs w:val="16"/>
              </w:rPr>
              <w:t>Dimitrijevic, D.</w:t>
            </w:r>
            <w:r w:rsidRPr="00EC7C66">
              <w:rPr>
                <w:rFonts w:ascii="Times New Roman" w:hAnsi="Times New Roman"/>
                <w:bCs/>
                <w:sz w:val="16"/>
                <w:szCs w:val="16"/>
              </w:rPr>
              <w:t xml:space="preserve"> (2010) </w:t>
            </w:r>
            <w:hyperlink r:id="rId8" w:history="1">
              <w:r w:rsidRPr="00EC7C66">
                <w:rPr>
                  <w:rStyle w:val="Hyperlink"/>
                  <w:rFonts w:ascii="Times New Roman" w:hAnsi="Times New Roman"/>
                  <w:bCs/>
                  <w:color w:val="auto"/>
                  <w:sz w:val="16"/>
                  <w:szCs w:val="16"/>
                  <w:u w:val="none"/>
                </w:rPr>
                <w:t>Dangers of nanotechnology: potential fire concerns and safety frameworks</w:t>
              </w:r>
            </w:hyperlink>
            <w:r w:rsidRPr="00EC7C66">
              <w:rPr>
                <w:rFonts w:ascii="Times New Roman" w:hAnsi="Times New Roman"/>
                <w:bCs/>
                <w:sz w:val="16"/>
                <w:szCs w:val="16"/>
              </w:rPr>
              <w:t xml:space="preserve">. </w:t>
            </w:r>
            <w:r w:rsidRPr="00EC7C66">
              <w:rPr>
                <w:rFonts w:ascii="Times New Roman" w:hAnsi="Times New Roman"/>
                <w:bCs/>
                <w:i/>
                <w:sz w:val="16"/>
                <w:szCs w:val="16"/>
              </w:rPr>
              <w:t>International Journal of Emergency Management</w:t>
            </w:r>
            <w:r w:rsidR="00383DB4" w:rsidRPr="00EC7C66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="00383DB4" w:rsidRPr="00EC7C66">
              <w:rPr>
                <w:rFonts w:ascii="Times New Roman" w:hAnsi="Times New Roman"/>
                <w:sz w:val="16"/>
                <w:szCs w:val="16"/>
                <w:lang/>
              </w:rPr>
              <w:t>7 (3-4), 249-257.</w:t>
            </w:r>
          </w:p>
        </w:tc>
      </w:tr>
      <w:tr w:rsidR="006E405C" w:rsidRPr="00EC7C66" w:rsidTr="00E82253">
        <w:trPr>
          <w:trHeight w:val="271"/>
        </w:trPr>
        <w:tc>
          <w:tcPr>
            <w:tcW w:w="8894" w:type="dxa"/>
            <w:gridSpan w:val="15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E405C" w:rsidRPr="00EC7C66" w:rsidTr="00E82253">
        <w:trPr>
          <w:trHeight w:val="271"/>
        </w:trPr>
        <w:tc>
          <w:tcPr>
            <w:tcW w:w="4043" w:type="dxa"/>
            <w:gridSpan w:val="7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4851" w:type="dxa"/>
            <w:gridSpan w:val="8"/>
            <w:vAlign w:val="center"/>
          </w:tcPr>
          <w:p w:rsidR="006E405C" w:rsidRPr="00EC7C66" w:rsidRDefault="002D26C6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298</w:t>
            </w:r>
            <w:r w:rsidR="00A709D3"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(Google Schoolar)</w:t>
            </w:r>
          </w:p>
        </w:tc>
      </w:tr>
      <w:tr w:rsidR="006E405C" w:rsidRPr="00EC7C66" w:rsidTr="00E82253">
        <w:trPr>
          <w:trHeight w:val="271"/>
        </w:trPr>
        <w:tc>
          <w:tcPr>
            <w:tcW w:w="4043" w:type="dxa"/>
            <w:gridSpan w:val="7"/>
            <w:vAlign w:val="center"/>
          </w:tcPr>
          <w:p w:rsidR="006E405C" w:rsidRPr="00EC7C66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4851" w:type="dxa"/>
            <w:gridSpan w:val="8"/>
            <w:vAlign w:val="center"/>
          </w:tcPr>
          <w:p w:rsidR="006E405C" w:rsidRPr="00EC7C66" w:rsidRDefault="00383DB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13</w:t>
            </w:r>
          </w:p>
        </w:tc>
      </w:tr>
      <w:tr w:rsidR="006E405C" w:rsidRPr="00EC7C66" w:rsidTr="00E82253">
        <w:trPr>
          <w:trHeight w:val="176"/>
        </w:trPr>
        <w:tc>
          <w:tcPr>
            <w:tcW w:w="4043" w:type="dxa"/>
            <w:gridSpan w:val="7"/>
            <w:vAlign w:val="center"/>
          </w:tcPr>
          <w:p w:rsidR="006E405C" w:rsidRPr="00EC7C66" w:rsidRDefault="006E405C" w:rsidP="005B47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1555" w:type="dxa"/>
            <w:gridSpan w:val="4"/>
            <w:vAlign w:val="center"/>
          </w:tcPr>
          <w:p w:rsidR="006E405C" w:rsidRPr="00EC7C66" w:rsidRDefault="006E405C" w:rsidP="005B47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Домаћи</w:t>
            </w:r>
          </w:p>
        </w:tc>
        <w:tc>
          <w:tcPr>
            <w:tcW w:w="3296" w:type="dxa"/>
            <w:gridSpan w:val="4"/>
            <w:vAlign w:val="center"/>
          </w:tcPr>
          <w:p w:rsidR="006E405C" w:rsidRPr="00EC7C66" w:rsidRDefault="006E405C" w:rsidP="005B47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>Међународни</w:t>
            </w:r>
          </w:p>
        </w:tc>
      </w:tr>
      <w:tr w:rsidR="006E405C" w:rsidRPr="00EC7C66" w:rsidTr="005B4775">
        <w:trPr>
          <w:trHeight w:val="271"/>
        </w:trPr>
        <w:tc>
          <w:tcPr>
            <w:tcW w:w="2198" w:type="dxa"/>
            <w:gridSpan w:val="4"/>
            <w:vAlign w:val="center"/>
          </w:tcPr>
          <w:p w:rsidR="006E405C" w:rsidRPr="00EC7C66" w:rsidRDefault="006E405C" w:rsidP="005B47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C7C6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6696" w:type="dxa"/>
            <w:gridSpan w:val="11"/>
            <w:vAlign w:val="center"/>
          </w:tcPr>
          <w:p w:rsidR="006E405C" w:rsidRPr="00EC7C66" w:rsidRDefault="006E405C" w:rsidP="005B47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</w:tbl>
    <w:p w:rsidR="005F4F7C" w:rsidRPr="00C40265" w:rsidRDefault="005F4F7C" w:rsidP="00EC7C66">
      <w:pPr>
        <w:rPr>
          <w:rFonts w:ascii="Times New Roman" w:hAnsi="Times New Roman"/>
          <w:lang/>
        </w:rPr>
      </w:pPr>
    </w:p>
    <w:sectPr w:rsidR="005F4F7C" w:rsidRPr="00C40265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Zurich B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5B4775"/>
    <w:rsid w:val="001B40F1"/>
    <w:rsid w:val="0021773B"/>
    <w:rsid w:val="002D26C6"/>
    <w:rsid w:val="00366039"/>
    <w:rsid w:val="00374805"/>
    <w:rsid w:val="003833FF"/>
    <w:rsid w:val="00383DB4"/>
    <w:rsid w:val="003B1AD5"/>
    <w:rsid w:val="003D70AD"/>
    <w:rsid w:val="00442DEF"/>
    <w:rsid w:val="00460DAD"/>
    <w:rsid w:val="00571966"/>
    <w:rsid w:val="005B4775"/>
    <w:rsid w:val="005F4F7C"/>
    <w:rsid w:val="00635E73"/>
    <w:rsid w:val="006E405C"/>
    <w:rsid w:val="007F4897"/>
    <w:rsid w:val="00801F89"/>
    <w:rsid w:val="008C48C8"/>
    <w:rsid w:val="00A1266B"/>
    <w:rsid w:val="00A5116A"/>
    <w:rsid w:val="00A619FD"/>
    <w:rsid w:val="00A709D3"/>
    <w:rsid w:val="00B016B2"/>
    <w:rsid w:val="00C40265"/>
    <w:rsid w:val="00C624B7"/>
    <w:rsid w:val="00D67472"/>
    <w:rsid w:val="00DE0D2D"/>
    <w:rsid w:val="00E82253"/>
    <w:rsid w:val="00EB4396"/>
    <w:rsid w:val="00EC7C66"/>
    <w:rsid w:val="00F77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1266B"/>
    <w:rPr>
      <w:color w:val="0000FF"/>
      <w:u w:val="single"/>
    </w:rPr>
  </w:style>
  <w:style w:type="paragraph" w:customStyle="1" w:styleId="Default">
    <w:name w:val="Default"/>
    <w:rsid w:val="007F4897"/>
    <w:pPr>
      <w:autoSpaceDE w:val="0"/>
      <w:autoSpaceDN w:val="0"/>
      <w:adjustRightInd w:val="0"/>
      <w:spacing w:after="0" w:line="240" w:lineRule="auto"/>
    </w:pPr>
    <w:rPr>
      <w:rFonts w:ascii="Zurich BT" w:eastAsia="Times New Roman" w:hAnsi="Zurich BT" w:cs="Zurich BT"/>
      <w:color w:val="000000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7F4897"/>
    <w:rPr>
      <w:i/>
      <w:iCs/>
    </w:rPr>
  </w:style>
  <w:style w:type="character" w:customStyle="1" w:styleId="st">
    <w:name w:val="st"/>
    <w:basedOn w:val="DefaultParagraphFont"/>
    <w:rsid w:val="007F4897"/>
  </w:style>
  <w:style w:type="character" w:styleId="Strong">
    <w:name w:val="Strong"/>
    <w:basedOn w:val="DefaultParagraphFont"/>
    <w:uiPriority w:val="99"/>
    <w:qFormat/>
    <w:rsid w:val="00383D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derscience.com/search/index.php?action=record&amp;rec_id=37009&amp;prevQuery=&amp;ps=10&amp;m=o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mazon.com/s/ref=ntt_athr_dp_sr_3?_encoding=UTF8&amp;sort=relevancerank&amp;search-alias=books&amp;field-author=Charles%20B.%20Field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com/s/ref=ntt_athr_dp_sr_2?_encoding=UTF8&amp;sort=relevancerank&amp;search-alias=books&amp;field-author=Dejana%20Dimitrijevic" TargetMode="External"/><Relationship Id="rId5" Type="http://schemas.openxmlformats.org/officeDocument/2006/relationships/hyperlink" Target="http://www.amazon.com/s/ref=ntt_athr_dp_sr_1?_encoding=UTF8&amp;sort=relevancerank&amp;search-alias=books&amp;field-author=Gorazd%20Mesk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1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2019-05-06T11:02:00Z</dcterms:created>
  <dcterms:modified xsi:type="dcterms:W3CDTF">2019-05-06T11:02:00Z</dcterms:modified>
</cp:coreProperties>
</file>